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2E48" w:rsidRPr="00842E48" w:rsidRDefault="00842E48" w:rsidP="00842E48">
      <w:pPr>
        <w:pStyle w:val="Titre1"/>
        <w:spacing w:before="203"/>
        <w:ind w:left="0"/>
        <w:jc w:val="both"/>
        <w:rPr>
          <w:b w:val="0"/>
          <w:bCs w:val="0"/>
          <w:i/>
          <w:iCs/>
          <w:color w:val="001F60"/>
          <w:sz w:val="24"/>
          <w:szCs w:val="24"/>
        </w:rPr>
      </w:pPr>
      <w:r w:rsidRPr="00842E48">
        <w:rPr>
          <w:b w:val="0"/>
          <w:bCs w:val="0"/>
          <w:i/>
          <w:iCs/>
          <w:color w:val="001F60"/>
          <w:sz w:val="24"/>
          <w:szCs w:val="24"/>
        </w:rPr>
        <w:t>Les Journées Maritimes et Logistiques Havraises</w:t>
      </w:r>
    </w:p>
    <w:p w:rsidR="00842E48" w:rsidRPr="00842E48" w:rsidRDefault="00842E48" w:rsidP="00842E48">
      <w:pPr>
        <w:pStyle w:val="Titre1"/>
        <w:spacing w:before="203"/>
        <w:ind w:left="0"/>
        <w:jc w:val="both"/>
        <w:rPr>
          <w:b w:val="0"/>
          <w:bCs w:val="0"/>
          <w:color w:val="001F60"/>
          <w:sz w:val="24"/>
          <w:szCs w:val="24"/>
        </w:rPr>
      </w:pPr>
      <w:r w:rsidRPr="00842E48">
        <w:rPr>
          <w:b w:val="0"/>
          <w:bCs w:val="0"/>
          <w:color w:val="001F60"/>
          <w:sz w:val="24"/>
          <w:szCs w:val="24"/>
        </w:rPr>
        <w:t>Le 16 Juin 2023 à la CCIH, 2eme</w:t>
      </w:r>
      <w:r w:rsidRPr="00842E48">
        <w:rPr>
          <w:b w:val="0"/>
          <w:bCs w:val="0"/>
          <w:color w:val="001F60"/>
          <w:spacing w:val="-2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édition</w:t>
      </w:r>
      <w:r w:rsidRPr="00842E48">
        <w:rPr>
          <w:b w:val="0"/>
          <w:bCs w:val="0"/>
          <w:color w:val="001F60"/>
          <w:spacing w:val="-2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des</w:t>
      </w:r>
      <w:r w:rsidRPr="00842E48">
        <w:rPr>
          <w:b w:val="0"/>
          <w:bCs w:val="0"/>
          <w:color w:val="001F60"/>
          <w:spacing w:val="1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Journées</w:t>
      </w:r>
      <w:r w:rsidRPr="00842E48">
        <w:rPr>
          <w:b w:val="0"/>
          <w:bCs w:val="0"/>
          <w:color w:val="001F60"/>
          <w:spacing w:val="-2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Maritimes</w:t>
      </w:r>
      <w:r w:rsidRPr="00842E48">
        <w:rPr>
          <w:b w:val="0"/>
          <w:bCs w:val="0"/>
          <w:color w:val="001F60"/>
          <w:spacing w:val="-3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et</w:t>
      </w:r>
      <w:r w:rsidRPr="00842E48">
        <w:rPr>
          <w:b w:val="0"/>
          <w:bCs w:val="0"/>
          <w:color w:val="001F60"/>
          <w:spacing w:val="-1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Logistiques</w:t>
      </w:r>
      <w:r w:rsidRPr="00842E48">
        <w:rPr>
          <w:b w:val="0"/>
          <w:bCs w:val="0"/>
          <w:color w:val="001F60"/>
          <w:spacing w:val="-2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du Havre</w:t>
      </w:r>
      <w:r w:rsidRPr="00842E48">
        <w:rPr>
          <w:b w:val="0"/>
          <w:bCs w:val="0"/>
          <w:color w:val="001F60"/>
          <w:spacing w:val="-1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 xml:space="preserve">(JMLH) organisées conjointement par le </w:t>
      </w:r>
      <w:proofErr w:type="spellStart"/>
      <w:r w:rsidRPr="00842E48">
        <w:rPr>
          <w:b w:val="0"/>
          <w:bCs w:val="0"/>
          <w:color w:val="001F60"/>
          <w:sz w:val="24"/>
          <w:szCs w:val="24"/>
        </w:rPr>
        <w:t>Propeller</w:t>
      </w:r>
      <w:proofErr w:type="spellEnd"/>
      <w:r w:rsidRPr="00842E48">
        <w:rPr>
          <w:b w:val="0"/>
          <w:bCs w:val="0"/>
          <w:color w:val="001F60"/>
          <w:sz w:val="24"/>
          <w:szCs w:val="24"/>
        </w:rPr>
        <w:t xml:space="preserve"> Club du Havre et le Club Logistique du Havre autour de la thématique centrale :</w:t>
      </w:r>
      <w:r w:rsidRPr="00842E48">
        <w:rPr>
          <w:b w:val="0"/>
          <w:bCs w:val="0"/>
          <w:color w:val="001F60"/>
          <w:spacing w:val="1"/>
          <w:sz w:val="24"/>
          <w:szCs w:val="24"/>
        </w:rPr>
        <w:t xml:space="preserve"> « </w:t>
      </w:r>
      <w:r w:rsidRPr="00842E48">
        <w:rPr>
          <w:b w:val="0"/>
          <w:bCs w:val="0"/>
          <w:color w:val="001F60"/>
          <w:sz w:val="24"/>
          <w:szCs w:val="24"/>
        </w:rPr>
        <w:t>Optimisation</w:t>
      </w:r>
      <w:r w:rsidRPr="00842E48">
        <w:rPr>
          <w:b w:val="0"/>
          <w:bCs w:val="0"/>
          <w:color w:val="001F60"/>
          <w:spacing w:val="-1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de l’escale portuaire</w:t>
      </w:r>
      <w:r w:rsidRPr="00842E48">
        <w:rPr>
          <w:b w:val="0"/>
          <w:bCs w:val="0"/>
          <w:color w:val="001F60"/>
          <w:spacing w:val="-1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dans un</w:t>
      </w:r>
      <w:r w:rsidRPr="00842E48">
        <w:rPr>
          <w:b w:val="0"/>
          <w:bCs w:val="0"/>
          <w:color w:val="001F60"/>
          <w:spacing w:val="-4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>monde</w:t>
      </w:r>
      <w:r w:rsidRPr="00842E48">
        <w:rPr>
          <w:b w:val="0"/>
          <w:bCs w:val="0"/>
          <w:color w:val="001F60"/>
          <w:spacing w:val="-3"/>
          <w:sz w:val="24"/>
          <w:szCs w:val="24"/>
        </w:rPr>
        <w:t xml:space="preserve"> </w:t>
      </w:r>
      <w:r w:rsidRPr="00842E48">
        <w:rPr>
          <w:b w:val="0"/>
          <w:bCs w:val="0"/>
          <w:color w:val="001F60"/>
          <w:sz w:val="24"/>
          <w:szCs w:val="24"/>
        </w:rPr>
        <w:t xml:space="preserve">logistique </w:t>
      </w:r>
      <w:proofErr w:type="spellStart"/>
      <w:r w:rsidRPr="00842E48">
        <w:rPr>
          <w:b w:val="0"/>
          <w:bCs w:val="0"/>
          <w:color w:val="001F60"/>
          <w:sz w:val="24"/>
          <w:szCs w:val="24"/>
        </w:rPr>
        <w:t>post-pandémique</w:t>
      </w:r>
      <w:proofErr w:type="spellEnd"/>
      <w:r w:rsidRPr="00842E48">
        <w:rPr>
          <w:b w:val="0"/>
          <w:bCs w:val="0"/>
          <w:color w:val="001F60"/>
          <w:sz w:val="24"/>
          <w:szCs w:val="24"/>
        </w:rPr>
        <w:t>. »</w:t>
      </w:r>
    </w:p>
    <w:p w:rsidR="00842E48" w:rsidRPr="00842E48" w:rsidRDefault="00842E48" w:rsidP="00842E48">
      <w:pPr>
        <w:pStyle w:val="Corpsdetexte"/>
        <w:spacing w:before="158" w:line="259" w:lineRule="auto"/>
        <w:ind w:right="215"/>
        <w:jc w:val="both"/>
        <w:rPr>
          <w:color w:val="001F60"/>
        </w:rPr>
      </w:pPr>
      <w:r w:rsidRPr="00842E48">
        <w:rPr>
          <w:color w:val="001F60"/>
        </w:rPr>
        <w:t xml:space="preserve">Avec la modération du </w:t>
      </w:r>
      <w:r w:rsidRPr="00842E48">
        <w:rPr>
          <w:b/>
          <w:color w:val="001F60"/>
        </w:rPr>
        <w:t>Dr. Yann Alix</w:t>
      </w:r>
      <w:r w:rsidRPr="00842E48">
        <w:rPr>
          <w:color w:val="001F60"/>
        </w:rPr>
        <w:t>, Délégué Général de la Fondation SEFACIL, ce sont les enjeux de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>l’organisation et la fiabilisation de l’escale portuaire ont été discutés dans un échange dynamique avec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>un</w:t>
      </w:r>
      <w:r w:rsidRPr="00842E48">
        <w:rPr>
          <w:color w:val="001F60"/>
          <w:spacing w:val="-1"/>
        </w:rPr>
        <w:t xml:space="preserve"> </w:t>
      </w:r>
      <w:r w:rsidRPr="00842E48">
        <w:rPr>
          <w:color w:val="001F60"/>
        </w:rPr>
        <w:t>parterre</w:t>
      </w:r>
      <w:r w:rsidRPr="00842E48">
        <w:rPr>
          <w:color w:val="001F60"/>
          <w:spacing w:val="-2"/>
        </w:rPr>
        <w:t xml:space="preserve"> </w:t>
      </w:r>
      <w:r w:rsidRPr="00842E48">
        <w:rPr>
          <w:color w:val="001F60"/>
        </w:rPr>
        <w:t>d’environ</w:t>
      </w:r>
      <w:r w:rsidRPr="00842E48">
        <w:rPr>
          <w:color w:val="001F60"/>
          <w:spacing w:val="3"/>
        </w:rPr>
        <w:t xml:space="preserve"> </w:t>
      </w:r>
      <w:r w:rsidRPr="00842E48">
        <w:rPr>
          <w:color w:val="001F60"/>
        </w:rPr>
        <w:t>150 invités.</w:t>
      </w:r>
    </w:p>
    <w:p w:rsidR="00842E48" w:rsidRPr="00842E48" w:rsidRDefault="00842E48" w:rsidP="00842E48">
      <w:pPr>
        <w:pStyle w:val="Corpsdetexte"/>
        <w:spacing w:before="157" w:line="259" w:lineRule="auto"/>
        <w:ind w:right="215"/>
        <w:jc w:val="both"/>
      </w:pPr>
      <w:r w:rsidRPr="00842E48">
        <w:rPr>
          <w:color w:val="001F60"/>
        </w:rPr>
        <w:t xml:space="preserve">Avec une conférence inaugurale proposée par </w:t>
      </w:r>
      <w:r w:rsidRPr="00842E48">
        <w:rPr>
          <w:b/>
          <w:color w:val="001F60"/>
        </w:rPr>
        <w:t xml:space="preserve">Dr. Pierre </w:t>
      </w:r>
      <w:proofErr w:type="spellStart"/>
      <w:r w:rsidRPr="00842E48">
        <w:rPr>
          <w:b/>
          <w:color w:val="001F60"/>
        </w:rPr>
        <w:t>Cariou</w:t>
      </w:r>
      <w:proofErr w:type="spellEnd"/>
      <w:r w:rsidRPr="00842E48">
        <w:rPr>
          <w:color w:val="001F60"/>
        </w:rPr>
        <w:t>, Professeur en économie maritime et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 xml:space="preserve">portuaire à KEDGE Business </w:t>
      </w:r>
      <w:proofErr w:type="spellStart"/>
      <w:r w:rsidRPr="00842E48">
        <w:rPr>
          <w:color w:val="001F60"/>
        </w:rPr>
        <w:t>School</w:t>
      </w:r>
      <w:proofErr w:type="spellEnd"/>
      <w:r w:rsidRPr="00842E48">
        <w:rPr>
          <w:color w:val="001F60"/>
        </w:rPr>
        <w:t xml:space="preserve"> et partenaire principal de l’initiative PORT ECONOMICS, nous avons eu le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 xml:space="preserve">privilège de débattre avec les représentants de CMA-CGM et de </w:t>
      </w:r>
      <w:proofErr w:type="spellStart"/>
      <w:r w:rsidRPr="00842E48">
        <w:rPr>
          <w:color w:val="001F60"/>
        </w:rPr>
        <w:t>TiL</w:t>
      </w:r>
      <w:proofErr w:type="spellEnd"/>
      <w:r w:rsidRPr="00842E48">
        <w:rPr>
          <w:color w:val="001F60"/>
        </w:rPr>
        <w:t xml:space="preserve"> Ltd sur les enjeux de la fiabilité des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>escales</w:t>
      </w:r>
      <w:r w:rsidRPr="00842E48">
        <w:rPr>
          <w:color w:val="001F60"/>
          <w:spacing w:val="-3"/>
        </w:rPr>
        <w:t xml:space="preserve"> </w:t>
      </w:r>
      <w:r w:rsidRPr="00842E48">
        <w:rPr>
          <w:color w:val="001F60"/>
        </w:rPr>
        <w:t>et</w:t>
      </w:r>
      <w:r w:rsidRPr="00842E48">
        <w:rPr>
          <w:color w:val="001F60"/>
          <w:spacing w:val="-2"/>
        </w:rPr>
        <w:t xml:space="preserve"> </w:t>
      </w:r>
      <w:r w:rsidRPr="00842E48">
        <w:rPr>
          <w:color w:val="001F60"/>
        </w:rPr>
        <w:t>des</w:t>
      </w:r>
      <w:r w:rsidRPr="00842E48">
        <w:rPr>
          <w:color w:val="001F60"/>
          <w:spacing w:val="-3"/>
        </w:rPr>
        <w:t xml:space="preserve"> </w:t>
      </w:r>
      <w:r w:rsidRPr="00842E48">
        <w:rPr>
          <w:color w:val="001F60"/>
        </w:rPr>
        <w:t>organisations</w:t>
      </w:r>
      <w:r w:rsidRPr="00842E48">
        <w:rPr>
          <w:color w:val="001F60"/>
          <w:spacing w:val="-2"/>
        </w:rPr>
        <w:t xml:space="preserve"> </w:t>
      </w:r>
      <w:r w:rsidRPr="00842E48">
        <w:rPr>
          <w:color w:val="001F60"/>
        </w:rPr>
        <w:t>logistiques</w:t>
      </w:r>
      <w:r w:rsidRPr="00842E48">
        <w:rPr>
          <w:color w:val="001F60"/>
          <w:spacing w:val="-5"/>
        </w:rPr>
        <w:t xml:space="preserve"> </w:t>
      </w:r>
      <w:r w:rsidRPr="00842E48">
        <w:rPr>
          <w:color w:val="001F60"/>
        </w:rPr>
        <w:t>terrestres.</w:t>
      </w:r>
      <w:r w:rsidRPr="00842E48">
        <w:rPr>
          <w:color w:val="001F60"/>
          <w:spacing w:val="-2"/>
        </w:rPr>
        <w:t xml:space="preserve"> </w:t>
      </w:r>
      <w:r w:rsidRPr="00842E48">
        <w:rPr>
          <w:color w:val="001F60"/>
        </w:rPr>
        <w:t>Cette</w:t>
      </w:r>
      <w:r w:rsidRPr="00842E48">
        <w:rPr>
          <w:color w:val="001F60"/>
          <w:spacing w:val="-5"/>
        </w:rPr>
        <w:t xml:space="preserve"> </w:t>
      </w:r>
      <w:r w:rsidRPr="00842E48">
        <w:rPr>
          <w:color w:val="001F60"/>
        </w:rPr>
        <w:t>première</w:t>
      </w:r>
      <w:r w:rsidRPr="00842E48">
        <w:rPr>
          <w:color w:val="001F60"/>
          <w:spacing w:val="-4"/>
        </w:rPr>
        <w:t xml:space="preserve"> </w:t>
      </w:r>
      <w:r w:rsidRPr="00842E48">
        <w:rPr>
          <w:color w:val="001F60"/>
        </w:rPr>
        <w:t>partie</w:t>
      </w:r>
      <w:r w:rsidRPr="00842E48">
        <w:rPr>
          <w:color w:val="001F60"/>
          <w:spacing w:val="-5"/>
        </w:rPr>
        <w:t xml:space="preserve"> a </w:t>
      </w:r>
      <w:r w:rsidRPr="00842E48">
        <w:rPr>
          <w:color w:val="001F60"/>
        </w:rPr>
        <w:t>permis</w:t>
      </w:r>
      <w:r w:rsidRPr="00842E48">
        <w:rPr>
          <w:color w:val="001F60"/>
          <w:spacing w:val="-4"/>
        </w:rPr>
        <w:t xml:space="preserve"> </w:t>
      </w:r>
      <w:r w:rsidRPr="00842E48">
        <w:rPr>
          <w:color w:val="001F60"/>
        </w:rPr>
        <w:t>de</w:t>
      </w:r>
      <w:r w:rsidRPr="00842E48">
        <w:rPr>
          <w:color w:val="001F60"/>
          <w:spacing w:val="-3"/>
        </w:rPr>
        <w:t xml:space="preserve"> </w:t>
      </w:r>
      <w:r w:rsidRPr="00842E48">
        <w:rPr>
          <w:color w:val="001F60"/>
        </w:rPr>
        <w:t>nourrir</w:t>
      </w:r>
      <w:r w:rsidRPr="00842E48">
        <w:rPr>
          <w:color w:val="001F60"/>
          <w:spacing w:val="-4"/>
        </w:rPr>
        <w:t xml:space="preserve"> </w:t>
      </w:r>
      <w:r w:rsidRPr="00842E48">
        <w:rPr>
          <w:color w:val="001F60"/>
        </w:rPr>
        <w:t>le</w:t>
      </w:r>
      <w:r w:rsidRPr="00842E48">
        <w:rPr>
          <w:color w:val="001F60"/>
          <w:spacing w:val="-5"/>
        </w:rPr>
        <w:t xml:space="preserve"> </w:t>
      </w:r>
      <w:r w:rsidRPr="00842E48">
        <w:rPr>
          <w:color w:val="001F60"/>
        </w:rPr>
        <w:t>dialogue dans</w:t>
      </w:r>
      <w:r w:rsidRPr="00842E48">
        <w:rPr>
          <w:color w:val="001F60"/>
          <w:spacing w:val="-52"/>
        </w:rPr>
        <w:t xml:space="preserve"> </w:t>
      </w:r>
      <w:r w:rsidRPr="00842E48">
        <w:rPr>
          <w:color w:val="001F60"/>
        </w:rPr>
        <w:t>une deuxième partie qui a donné la parole à plusieurs grands témoins logistiques qui œuvrent sur le corridor</w:t>
      </w:r>
      <w:r w:rsidRPr="00842E48">
        <w:rPr>
          <w:color w:val="001F60"/>
          <w:spacing w:val="1"/>
        </w:rPr>
        <w:t xml:space="preserve"> </w:t>
      </w:r>
      <w:r w:rsidRPr="00842E48">
        <w:rPr>
          <w:color w:val="001F60"/>
        </w:rPr>
        <w:t>HAROPA.</w:t>
      </w:r>
    </w:p>
    <w:p w:rsidR="00842E48" w:rsidRPr="00842E48" w:rsidRDefault="00842E48" w:rsidP="00842E48">
      <w:pPr>
        <w:pStyle w:val="Corpsdetexte"/>
        <w:spacing w:before="158" w:line="259" w:lineRule="auto"/>
        <w:ind w:left="220" w:right="215"/>
        <w:jc w:val="both"/>
      </w:pPr>
    </w:p>
    <w:p w:rsidR="00842E48" w:rsidRPr="00842E48" w:rsidRDefault="00842E48" w:rsidP="00842E48"/>
    <w:sectPr w:rsidR="00842E48" w:rsidRPr="00842E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48"/>
    <w:rsid w:val="0084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69216"/>
  <w15:chartTrackingRefBased/>
  <w15:docId w15:val="{986963A7-22CE-7048-B0CD-9A4360F59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42E48"/>
    <w:pPr>
      <w:widowControl w:val="0"/>
      <w:autoSpaceDE w:val="0"/>
      <w:autoSpaceDN w:val="0"/>
      <w:spacing w:before="21"/>
      <w:ind w:left="852"/>
      <w:outlineLvl w:val="0"/>
    </w:pPr>
    <w:rPr>
      <w:rFonts w:ascii="Calibri" w:eastAsia="Calibri" w:hAnsi="Calibri" w:cs="Calibri"/>
      <w:b/>
      <w:bCs/>
      <w:kern w:val="0"/>
      <w:sz w:val="28"/>
      <w:szCs w:val="28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2E48"/>
    <w:rPr>
      <w:rFonts w:ascii="Calibri" w:eastAsia="Calibri" w:hAnsi="Calibri" w:cs="Calibri"/>
      <w:b/>
      <w:bCs/>
      <w:kern w:val="0"/>
      <w:sz w:val="28"/>
      <w:szCs w:val="28"/>
      <w14:ligatures w14:val="none"/>
    </w:rPr>
  </w:style>
  <w:style w:type="paragraph" w:styleId="Corpsdetexte">
    <w:name w:val="Body Text"/>
    <w:basedOn w:val="Normal"/>
    <w:link w:val="CorpsdetexteCar"/>
    <w:uiPriority w:val="1"/>
    <w:qFormat/>
    <w:rsid w:val="00842E48"/>
    <w:pPr>
      <w:widowControl w:val="0"/>
      <w:autoSpaceDE w:val="0"/>
      <w:autoSpaceDN w:val="0"/>
    </w:pPr>
    <w:rPr>
      <w:rFonts w:ascii="Calibri" w:eastAsia="Calibri" w:hAnsi="Calibri" w:cs="Calibri"/>
      <w:kern w:val="0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842E48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2024-04-16T15:03:00Z</dcterms:created>
  <dcterms:modified xsi:type="dcterms:W3CDTF">2024-04-16T15:10:00Z</dcterms:modified>
</cp:coreProperties>
</file>